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9C313" w14:textId="77777777" w:rsidR="00AC616E" w:rsidRDefault="00AC616E" w:rsidP="00AC616E">
      <w:pPr>
        <w:tabs>
          <w:tab w:val="center" w:pos="5544"/>
        </w:tabs>
        <w:suppressAutoHyphens/>
        <w:spacing w:line="360" w:lineRule="auto"/>
        <w:jc w:val="center"/>
        <w:rPr>
          <w:b/>
          <w:spacing w:val="-3"/>
          <w:u w:val="single"/>
        </w:rPr>
      </w:pPr>
      <w:r>
        <w:rPr>
          <w:b/>
          <w:spacing w:val="-3"/>
          <w:u w:val="single"/>
        </w:rPr>
        <w:t>U.S. MILITARY BACKGROUND</w:t>
      </w:r>
    </w:p>
    <w:p w14:paraId="38AD5AE9" w14:textId="77777777" w:rsidR="00AC616E" w:rsidRDefault="00AC616E" w:rsidP="00AC616E">
      <w:pPr>
        <w:tabs>
          <w:tab w:val="center" w:pos="5544"/>
        </w:tabs>
        <w:suppressAutoHyphens/>
        <w:spacing w:line="360" w:lineRule="auto"/>
        <w:jc w:val="center"/>
        <w:rPr>
          <w:b/>
          <w:spacing w:val="-3"/>
          <w:u w:val="single"/>
        </w:rPr>
      </w:pPr>
    </w:p>
    <w:p w14:paraId="6D858086" w14:textId="77777777" w:rsidR="00AC616E" w:rsidRDefault="00AC616E" w:rsidP="00AC616E">
      <w:pPr>
        <w:tabs>
          <w:tab w:val="center" w:pos="5544"/>
        </w:tabs>
        <w:suppressAutoHyphens/>
        <w:spacing w:line="360" w:lineRule="auto"/>
        <w:jc w:val="center"/>
        <w:rPr>
          <w:b/>
          <w:spacing w:val="-3"/>
          <w:u w:val="single"/>
        </w:rPr>
      </w:pPr>
    </w:p>
    <w:p w14:paraId="35A07364" w14:textId="62FE1D9F" w:rsidR="00AC616E" w:rsidRDefault="00AC616E" w:rsidP="00AC616E">
      <w:pPr>
        <w:spacing w:line="360" w:lineRule="atLeast"/>
        <w:rPr>
          <w:rFonts w:ascii="Arial" w:hAnsi="Arial" w:cs="Arial"/>
          <w:color w:val="252525"/>
          <w:sz w:val="21"/>
          <w:szCs w:val="21"/>
        </w:rPr>
      </w:pPr>
      <w:r>
        <w:rPr>
          <w:spacing w:val="-3"/>
        </w:rPr>
        <w:t>9)</w:t>
      </w:r>
      <w:r>
        <w:rPr>
          <w:spacing w:val="-2"/>
          <w:sz w:val="19"/>
        </w:rPr>
        <w:tab/>
        <w:t>Branch:</w:t>
      </w:r>
      <w:r>
        <w:rPr>
          <w:spacing w:val="-2"/>
          <w:sz w:val="19"/>
          <w:u w:val="single"/>
        </w:rPr>
        <w:tab/>
      </w:r>
      <w:r>
        <w:rPr>
          <w:spacing w:val="-2"/>
          <w:sz w:val="19"/>
          <w:u w:val="single"/>
        </w:rPr>
        <w:tab/>
      </w:r>
      <w:r>
        <w:rPr>
          <w:spacing w:val="-2"/>
          <w:sz w:val="19"/>
          <w:u w:val="single"/>
        </w:rPr>
        <w:tab/>
      </w:r>
      <w:r>
        <w:rPr>
          <w:spacing w:val="-2"/>
          <w:sz w:val="19"/>
          <w:u w:val="single"/>
        </w:rPr>
        <w:tab/>
      </w:r>
      <w:r>
        <w:rPr>
          <w:spacing w:val="-2"/>
          <w:sz w:val="19"/>
        </w:rPr>
        <w:t>Date In:</w:t>
      </w:r>
      <w:r>
        <w:rPr>
          <w:spacing w:val="-2"/>
          <w:sz w:val="19"/>
          <w:u w:val="single"/>
        </w:rPr>
        <w:tab/>
      </w:r>
      <w:r>
        <w:rPr>
          <w:spacing w:val="-2"/>
          <w:sz w:val="19"/>
          <w:u w:val="single"/>
        </w:rPr>
        <w:tab/>
      </w:r>
      <w:r>
        <w:rPr>
          <w:spacing w:val="-2"/>
          <w:sz w:val="19"/>
          <w:u w:val="single"/>
        </w:rPr>
        <w:tab/>
      </w:r>
      <w:r>
        <w:rPr>
          <w:spacing w:val="-2"/>
          <w:sz w:val="19"/>
          <w:u w:val="single"/>
        </w:rPr>
        <w:tab/>
      </w:r>
      <w:r>
        <w:rPr>
          <w:spacing w:val="-2"/>
          <w:sz w:val="19"/>
        </w:rPr>
        <w:t>Date Out:</w:t>
      </w:r>
      <w:r>
        <w:rPr>
          <w:spacing w:val="-2"/>
          <w:sz w:val="19"/>
          <w:u w:val="single"/>
        </w:rPr>
        <w:tab/>
      </w:r>
      <w:r>
        <w:rPr>
          <w:spacing w:val="-2"/>
          <w:sz w:val="19"/>
          <w:u w:val="single"/>
        </w:rPr>
        <w:tab/>
      </w:r>
      <w:r>
        <w:rPr>
          <w:spacing w:val="-2"/>
          <w:sz w:val="19"/>
          <w:u w:val="single"/>
        </w:rPr>
        <w:tab/>
      </w:r>
    </w:p>
    <w:p w14:paraId="67778D94" w14:textId="77777777" w:rsidR="00AC616E" w:rsidRDefault="00AC616E" w:rsidP="00AC616E">
      <w:pPr>
        <w:spacing w:line="360" w:lineRule="atLeast"/>
        <w:rPr>
          <w:rFonts w:ascii="Georgia" w:hAnsi="Georgia"/>
          <w:color w:val="252525"/>
          <w:sz w:val="25"/>
          <w:szCs w:val="25"/>
        </w:rPr>
      </w:pPr>
    </w:p>
    <w:p w14:paraId="707F6731" w14:textId="77777777" w:rsidR="00AC616E" w:rsidRDefault="00AC616E" w:rsidP="00AC616E">
      <w:pPr>
        <w:pStyle w:val="NoSpacing"/>
      </w:pPr>
      <w:r>
        <w:t xml:space="preserve">Documentation must be furnished </w:t>
      </w:r>
      <w:proofErr w:type="gramStart"/>
      <w:r>
        <w:t>in order to</w:t>
      </w:r>
      <w:proofErr w:type="gramEnd"/>
      <w:r>
        <w:t xml:space="preserve"> receive preference in employment.</w:t>
      </w:r>
    </w:p>
    <w:p w14:paraId="62A6A960" w14:textId="77777777" w:rsidR="00AC616E" w:rsidRDefault="00AC616E" w:rsidP="00AC616E">
      <w:pPr>
        <w:pStyle w:val="NoSpacing"/>
      </w:pPr>
    </w:p>
    <w:p w14:paraId="2EBCBB57" w14:textId="77777777" w:rsidR="00AC616E" w:rsidRDefault="00AC616E" w:rsidP="00AC616E">
      <w:pPr>
        <w:pStyle w:val="NoSpacing"/>
      </w:pPr>
      <w:r>
        <w:t>RCW 73.16.010. Preference in public employment</w:t>
      </w:r>
    </w:p>
    <w:p w14:paraId="196BCEED" w14:textId="77777777" w:rsidR="00AC616E" w:rsidRDefault="00AC616E" w:rsidP="00AC616E">
      <w:pPr>
        <w:pStyle w:val="NoSpacing"/>
      </w:pPr>
      <w:r>
        <w:t xml:space="preserve">In every public department, and upon all public works of the state, and of any county thereof, honorably discharged soldiers, sailors, and marines who are veterans of any war of the United States, or of any military campaign for which a campaign ribbon shall have been awarded, and their widows or widowers, shall be preferred for appointment and employment. Age, loss of limb, or other physical impairment, which does not in fact incapacitate, shall not be deemed to disqualify them, provided they possess the capacity necessary to discharge the duties of the position involved: PROVIDED, </w:t>
      </w:r>
      <w:proofErr w:type="gramStart"/>
      <w:r>
        <w:t>That</w:t>
      </w:r>
      <w:proofErr w:type="gramEnd"/>
      <w:r>
        <w:t xml:space="preserve"> spouses of honorably discharged veterans who have a service connected permanent and total disability shall also be preferred for appointment and employment.</w:t>
      </w:r>
    </w:p>
    <w:p w14:paraId="57EE172A" w14:textId="77777777" w:rsidR="00AC616E" w:rsidRDefault="00AC616E" w:rsidP="00AC616E">
      <w:pPr>
        <w:pStyle w:val="NoSpacing"/>
        <w:rPr>
          <w:rFonts w:ascii="Arial" w:hAnsi="Arial" w:cs="Arial"/>
          <w:sz w:val="21"/>
          <w:szCs w:val="21"/>
        </w:rPr>
      </w:pPr>
    </w:p>
    <w:p w14:paraId="63FB8185" w14:textId="77777777" w:rsidR="00AC616E" w:rsidRDefault="00AC616E" w:rsidP="00AC616E">
      <w:pPr>
        <w:pStyle w:val="NoSpacing"/>
        <w:rPr>
          <w:rFonts w:ascii="Arial" w:hAnsi="Arial" w:cs="Arial"/>
          <w:sz w:val="21"/>
          <w:szCs w:val="21"/>
        </w:rPr>
      </w:pPr>
    </w:p>
    <w:p w14:paraId="42A4AE4C" w14:textId="77777777" w:rsidR="00AC616E" w:rsidRDefault="00AC616E" w:rsidP="00AC616E">
      <w:pPr>
        <w:pStyle w:val="NoSpacing"/>
      </w:pPr>
      <w:r>
        <w:t xml:space="preserve">(1) Ten percent to a veteran who served during a period of war or in an armed conflict as defined in </w:t>
      </w:r>
      <w:hyperlink r:id="rId4" w:history="1">
        <w:r>
          <w:rPr>
            <w:rStyle w:val="Hyperlink"/>
            <w:sz w:val="18"/>
            <w:szCs w:val="18"/>
          </w:rPr>
          <w:t>RCW 41.04.005</w:t>
        </w:r>
      </w:hyperlink>
      <w:r>
        <w:t xml:space="preserve"> and does not receive military retirement. The percentage shall be added to the passing mark, grade, or rating of competitive examinations until the veteran's first appointment. The percentage shall not be utilized in promotional </w:t>
      </w:r>
      <w:proofErr w:type="gramStart"/>
      <w:r>
        <w:t>examinations;</w:t>
      </w:r>
      <w:proofErr w:type="gramEnd"/>
    </w:p>
    <w:p w14:paraId="42BF716D" w14:textId="77777777" w:rsidR="00AC616E" w:rsidRDefault="00AC616E" w:rsidP="00AC616E">
      <w:pPr>
        <w:pStyle w:val="NoSpacing"/>
      </w:pPr>
      <w:r>
        <w:t xml:space="preserve">(2) Five percent to a veteran who did not serve during a period of war or in an armed conflict as defined in </w:t>
      </w:r>
      <w:hyperlink r:id="rId5" w:history="1">
        <w:r>
          <w:rPr>
            <w:rStyle w:val="Hyperlink"/>
            <w:sz w:val="18"/>
            <w:szCs w:val="18"/>
          </w:rPr>
          <w:t>RCW 41.04.005</w:t>
        </w:r>
      </w:hyperlink>
      <w:r>
        <w:t xml:space="preserve"> or is receiving military retirement. The percentage shall be added to the passing mark, grade, or rating of competitive examinations until the veteran's first appointment. The percentage shall not be utilized in promotional </w:t>
      </w:r>
      <w:proofErr w:type="gramStart"/>
      <w:r>
        <w:t>examinations;</w:t>
      </w:r>
      <w:proofErr w:type="gramEnd"/>
    </w:p>
    <w:p w14:paraId="456F37F1" w14:textId="77777777" w:rsidR="00AC616E" w:rsidRDefault="00AC616E" w:rsidP="00AC616E">
      <w:pPr>
        <w:pStyle w:val="NoSpacing"/>
      </w:pPr>
      <w:r>
        <w:t xml:space="preserve">(3) Five percent to a veteran who was called to active military service from employment with the state or any of its political subdivisions or municipal corporations. The percentage shall be added to promotional examinations until the first promotion </w:t>
      </w:r>
      <w:proofErr w:type="gramStart"/>
      <w:r>
        <w:t>only;</w:t>
      </w:r>
      <w:proofErr w:type="gramEnd"/>
    </w:p>
    <w:p w14:paraId="56C1EE1E" w14:textId="77777777" w:rsidR="00AC616E" w:rsidRDefault="00AC616E" w:rsidP="00AC616E">
      <w:pPr>
        <w:pStyle w:val="NoSpacing"/>
      </w:pPr>
      <w:r>
        <w:t>(4) All veterans' scoring criteria may be claimed upon release from active military service.</w:t>
      </w:r>
    </w:p>
    <w:p w14:paraId="68D8DF5F" w14:textId="77777777" w:rsidR="00AC616E" w:rsidRDefault="00AC616E" w:rsidP="00AC616E">
      <w:pPr>
        <w:pStyle w:val="NoSpacing"/>
      </w:pPr>
    </w:p>
    <w:p w14:paraId="090FA18D" w14:textId="77777777" w:rsidR="00691A41" w:rsidRDefault="00691A41"/>
    <w:sectPr w:rsidR="00691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6E"/>
    <w:rsid w:val="00691A41"/>
    <w:rsid w:val="00AC616E"/>
    <w:rsid w:val="00B30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D8CFD"/>
  <w15:chartTrackingRefBased/>
  <w15:docId w15:val="{18FF55CC-0B52-410D-97B7-D1E8D337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16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C616E"/>
    <w:rPr>
      <w:color w:val="0000FF"/>
      <w:u w:val="single"/>
    </w:rPr>
  </w:style>
  <w:style w:type="paragraph" w:styleId="NoSpacing">
    <w:name w:val="No Spacing"/>
    <w:uiPriority w:val="1"/>
    <w:qFormat/>
    <w:rsid w:val="00AC616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25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next.westlaw.com/Link/Document/FullText?findType=L&amp;pubNum=1000259&amp;cite=WAST41.04.005&amp;originatingDoc=NC6E0B0E06C9311DEB007ADCFB804DACC&amp;refType=LQ&amp;originationContext=document&amp;transitionType=DocumentItem&amp;contextData=(sc.Document)" TargetMode="External"/><Relationship Id="rId4" Type="http://schemas.openxmlformats.org/officeDocument/2006/relationships/hyperlink" Target="https://a.next.westlaw.com/Link/Document/FullText?findType=L&amp;pubNum=1000259&amp;cite=WAST41.04.005&amp;originatingDoc=NC6E0B0E06C9311DEB007ADCFB804DACC&amp;refType=LQ&amp;originationContext=document&amp;transitionType=DocumentItem&amp;contextData=(sc.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Heikkila</dc:creator>
  <cp:keywords/>
  <dc:description/>
  <cp:lastModifiedBy>Katie Heikkila</cp:lastModifiedBy>
  <cp:revision>2</cp:revision>
  <dcterms:created xsi:type="dcterms:W3CDTF">2021-01-06T19:49:00Z</dcterms:created>
  <dcterms:modified xsi:type="dcterms:W3CDTF">2021-01-06T19:55:00Z</dcterms:modified>
</cp:coreProperties>
</file>